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7C" w:rsidRDefault="00D0647C"/>
    <w:p w:rsidR="00C902AD" w:rsidRDefault="00C902AD"/>
    <w:p w:rsidR="00FD63D0" w:rsidRDefault="00FD63D0" w:rsidP="0003211D">
      <w:pPr>
        <w:pStyle w:val="NormalWeb"/>
        <w:spacing w:before="0" w:beforeAutospacing="0" w:after="0" w:afterAutospacing="0"/>
        <w:rPr>
          <w:rStyle w:val="Strong"/>
          <w:rFonts w:ascii="Century Gothic" w:hAnsi="Century Gothic"/>
          <w:sz w:val="22"/>
          <w:szCs w:val="22"/>
        </w:rPr>
      </w:pPr>
    </w:p>
    <w:p w:rsidR="00007F6B" w:rsidRPr="00007F6B" w:rsidRDefault="00007F6B" w:rsidP="00007F6B">
      <w:pPr>
        <w:spacing w:before="100" w:beforeAutospacing="1" w:after="100" w:afterAutospacing="1" w:line="240" w:lineRule="auto"/>
        <w:jc w:val="center"/>
        <w:rPr>
          <w:rStyle w:val="Strong"/>
          <w:rFonts w:eastAsia="Times New Roman" w:cstheme="minorHAnsi"/>
          <w:b w:val="0"/>
          <w:bCs w:val="0"/>
          <w:i/>
        </w:rPr>
      </w:pPr>
      <w:r w:rsidRPr="00AB6709">
        <w:rPr>
          <w:rFonts w:eastAsia="Times New Roman" w:cstheme="minorHAnsi"/>
          <w:i/>
        </w:rPr>
        <w:t>Safe and Happy – Supportive – Respectful – Aspirational – Inclusive</w:t>
      </w:r>
    </w:p>
    <w:p w:rsidR="0003211D" w:rsidRPr="0003211D" w:rsidRDefault="0003211D" w:rsidP="0003211D">
      <w:pPr>
        <w:pStyle w:val="Heading2"/>
        <w:spacing w:before="0" w:beforeAutospacing="0" w:after="0" w:afterAutospacing="0"/>
        <w:jc w:val="center"/>
        <w:rPr>
          <w:rFonts w:ascii="Century Gothic" w:hAnsi="Century Gothic"/>
          <w:sz w:val="22"/>
          <w:szCs w:val="22"/>
        </w:rPr>
      </w:pPr>
      <w:r w:rsidRPr="0003211D">
        <w:rPr>
          <w:rFonts w:ascii="Century Gothic" w:hAnsi="Century Gothic"/>
          <w:sz w:val="22"/>
          <w:szCs w:val="22"/>
        </w:rPr>
        <w:t>Personal Specification – Resource Base Leader (Interim)</w:t>
      </w:r>
    </w:p>
    <w:p w:rsidR="0003211D" w:rsidRPr="0003211D" w:rsidRDefault="0003211D" w:rsidP="0003211D">
      <w:pPr>
        <w:pStyle w:val="NormalWeb"/>
        <w:spacing w:before="0" w:beforeAutospacing="0" w:after="0" w:afterAutospacing="0"/>
        <w:rPr>
          <w:rFonts w:ascii="Century Gothic" w:hAnsi="Century Gothic"/>
          <w:sz w:val="22"/>
          <w:szCs w:val="22"/>
        </w:rPr>
      </w:pPr>
      <w:r w:rsidRPr="0003211D">
        <w:rPr>
          <w:rStyle w:val="Strong"/>
          <w:rFonts w:ascii="Century Gothic" w:hAnsi="Century Gothic"/>
          <w:sz w:val="22"/>
          <w:szCs w:val="22"/>
        </w:rPr>
        <w:t>Post:</w:t>
      </w:r>
      <w:r w:rsidRPr="0003211D">
        <w:rPr>
          <w:rFonts w:ascii="Century Gothic" w:hAnsi="Century Gothic"/>
          <w:sz w:val="22"/>
          <w:szCs w:val="22"/>
        </w:rPr>
        <w:t xml:space="preserve"> Interim Resource Base Leader – Complex Needs Resource Base</w:t>
      </w:r>
      <w:r w:rsidRPr="0003211D">
        <w:rPr>
          <w:rFonts w:ascii="Century Gothic" w:hAnsi="Century Gothic"/>
          <w:sz w:val="22"/>
          <w:szCs w:val="22"/>
        </w:rPr>
        <w:br/>
      </w:r>
      <w:r w:rsidRPr="0003211D">
        <w:rPr>
          <w:rStyle w:val="Strong"/>
          <w:rFonts w:ascii="Century Gothic" w:hAnsi="Century Gothic"/>
          <w:sz w:val="22"/>
          <w:szCs w:val="22"/>
        </w:rPr>
        <w:t>Reporting to:</w:t>
      </w:r>
      <w:r w:rsidRPr="0003211D">
        <w:rPr>
          <w:rFonts w:ascii="Century Gothic" w:hAnsi="Century Gothic"/>
          <w:sz w:val="22"/>
          <w:szCs w:val="22"/>
        </w:rPr>
        <w:t xml:space="preserve"> Headteacher</w:t>
      </w:r>
      <w:r w:rsidRPr="0003211D">
        <w:rPr>
          <w:rFonts w:ascii="Century Gothic" w:hAnsi="Century Gothic"/>
          <w:sz w:val="22"/>
          <w:szCs w:val="22"/>
        </w:rPr>
        <w:br/>
      </w:r>
      <w:r w:rsidRPr="0003211D">
        <w:rPr>
          <w:rStyle w:val="Strong"/>
          <w:rFonts w:ascii="Century Gothic" w:hAnsi="Century Gothic"/>
          <w:sz w:val="22"/>
          <w:szCs w:val="22"/>
        </w:rPr>
        <w:t>Salary:</w:t>
      </w:r>
      <w:r w:rsidRPr="0003211D">
        <w:rPr>
          <w:rFonts w:ascii="Century Gothic" w:hAnsi="Century Gothic"/>
          <w:sz w:val="22"/>
          <w:szCs w:val="22"/>
        </w:rPr>
        <w:t xml:space="preserve"> MPS/UPS (dependent on experience) + minimum SEN allowance</w:t>
      </w:r>
      <w:bookmarkStart w:id="0" w:name="_GoBack"/>
      <w:bookmarkEnd w:id="0"/>
      <w:r w:rsidRPr="0003211D">
        <w:rPr>
          <w:rFonts w:ascii="Century Gothic" w:hAnsi="Century Gothic"/>
          <w:sz w:val="22"/>
          <w:szCs w:val="22"/>
        </w:rPr>
        <w:br/>
      </w:r>
      <w:r w:rsidRPr="0003211D">
        <w:rPr>
          <w:rStyle w:val="Strong"/>
          <w:rFonts w:ascii="Century Gothic" w:hAnsi="Century Gothic"/>
          <w:sz w:val="22"/>
          <w:szCs w:val="22"/>
        </w:rPr>
        <w:t>Contract:</w:t>
      </w:r>
      <w:r w:rsidRPr="0003211D">
        <w:rPr>
          <w:rFonts w:ascii="Century Gothic" w:hAnsi="Century Gothic"/>
          <w:sz w:val="22"/>
          <w:szCs w:val="22"/>
        </w:rPr>
        <w:t xml:space="preserve"> Fixed-term interim post covering maternity leave until </w:t>
      </w:r>
      <w:r w:rsidRPr="0003211D">
        <w:rPr>
          <w:rStyle w:val="Strong"/>
          <w:rFonts w:ascii="Century Gothic" w:hAnsi="Century Gothic"/>
          <w:sz w:val="22"/>
          <w:szCs w:val="22"/>
        </w:rPr>
        <w:t>July 2027</w:t>
      </w:r>
    </w:p>
    <w:p w:rsidR="0003211D" w:rsidRPr="0003211D" w:rsidRDefault="000B21A3" w:rsidP="0003211D">
      <w:pPr>
        <w:spacing w:after="0"/>
        <w:rPr>
          <w:rFonts w:ascii="Century Gothic" w:hAnsi="Century Gothic"/>
        </w:rPr>
      </w:pPr>
      <w:r>
        <w:rPr>
          <w:rFonts w:ascii="Century Gothic" w:hAnsi="Century Gothic"/>
        </w:rPr>
        <w:pict>
          <v:rect id="_x0000_i1025" style="width:0;height:1.5pt" o:hralign="center" o:hrstd="t" o:hr="t" fillcolor="#a0a0a0" stroked="f"/>
        </w:pict>
      </w:r>
    </w:p>
    <w:p w:rsidR="0003211D" w:rsidRPr="0003211D" w:rsidRDefault="0003211D" w:rsidP="0003211D">
      <w:pPr>
        <w:pStyle w:val="Heading3"/>
        <w:spacing w:before="0"/>
        <w:rPr>
          <w:rFonts w:ascii="Century Gothic" w:hAnsi="Century Gothic"/>
          <w:b/>
          <w:color w:val="auto"/>
          <w:sz w:val="22"/>
          <w:szCs w:val="22"/>
        </w:rPr>
      </w:pPr>
      <w:r w:rsidRPr="0003211D">
        <w:rPr>
          <w:rFonts w:ascii="Century Gothic" w:hAnsi="Century Gothic"/>
          <w:b/>
          <w:color w:val="auto"/>
          <w:sz w:val="22"/>
          <w:szCs w:val="22"/>
        </w:rPr>
        <w:t>Purpose of the Role</w:t>
      </w:r>
    </w:p>
    <w:p w:rsidR="0003211D" w:rsidRPr="0003211D" w:rsidRDefault="0003211D" w:rsidP="0003211D">
      <w:pPr>
        <w:pStyle w:val="NormalWeb"/>
        <w:spacing w:before="0" w:beforeAutospacing="0" w:after="0" w:afterAutospacing="0"/>
        <w:rPr>
          <w:rFonts w:ascii="Century Gothic" w:hAnsi="Century Gothic"/>
          <w:sz w:val="22"/>
          <w:szCs w:val="22"/>
        </w:rPr>
      </w:pPr>
      <w:r w:rsidRPr="0003211D">
        <w:rPr>
          <w:rFonts w:ascii="Century Gothic" w:hAnsi="Century Gothic"/>
          <w:sz w:val="22"/>
          <w:szCs w:val="22"/>
        </w:rPr>
        <w:t>The Interim Resource Base Leader will provide professional leadership for the school’s Complex Needs Resource Base (CNRB), ensuring high-quality provision for pupils with complex learning needs. The postholder will:</w:t>
      </w:r>
    </w:p>
    <w:p w:rsidR="0003211D" w:rsidRPr="0003211D" w:rsidRDefault="0003211D" w:rsidP="0003211D">
      <w:pPr>
        <w:pStyle w:val="NormalWeb"/>
        <w:numPr>
          <w:ilvl w:val="0"/>
          <w:numId w:val="32"/>
        </w:numPr>
        <w:spacing w:before="0" w:beforeAutospacing="0" w:after="0" w:afterAutospacing="0"/>
        <w:rPr>
          <w:rFonts w:ascii="Century Gothic" w:hAnsi="Century Gothic"/>
          <w:sz w:val="22"/>
          <w:szCs w:val="22"/>
        </w:rPr>
      </w:pPr>
      <w:r w:rsidRPr="0003211D">
        <w:rPr>
          <w:rFonts w:ascii="Century Gothic" w:hAnsi="Century Gothic"/>
          <w:sz w:val="22"/>
          <w:szCs w:val="22"/>
        </w:rPr>
        <w:t>Fulfil the professional duties of a teacher in line with the STPCD.</w:t>
      </w:r>
    </w:p>
    <w:p w:rsidR="0003211D" w:rsidRPr="0003211D" w:rsidRDefault="0003211D" w:rsidP="0003211D">
      <w:pPr>
        <w:pStyle w:val="NormalWeb"/>
        <w:numPr>
          <w:ilvl w:val="0"/>
          <w:numId w:val="32"/>
        </w:numPr>
        <w:spacing w:before="0" w:beforeAutospacing="0" w:after="0" w:afterAutospacing="0"/>
        <w:rPr>
          <w:rFonts w:ascii="Century Gothic" w:hAnsi="Century Gothic"/>
          <w:sz w:val="22"/>
          <w:szCs w:val="22"/>
        </w:rPr>
      </w:pPr>
      <w:r w:rsidRPr="0003211D">
        <w:rPr>
          <w:rFonts w:ascii="Century Gothic" w:hAnsi="Century Gothic"/>
          <w:sz w:val="22"/>
          <w:szCs w:val="22"/>
        </w:rPr>
        <w:t>Provide leadership, guidance, and support to staff working with pupils in the CNRB.</w:t>
      </w:r>
    </w:p>
    <w:p w:rsidR="0003211D" w:rsidRPr="0003211D" w:rsidRDefault="0003211D" w:rsidP="0003211D">
      <w:pPr>
        <w:pStyle w:val="NormalWeb"/>
        <w:numPr>
          <w:ilvl w:val="0"/>
          <w:numId w:val="32"/>
        </w:numPr>
        <w:spacing w:before="0" w:beforeAutospacing="0" w:after="0" w:afterAutospacing="0"/>
        <w:rPr>
          <w:rFonts w:ascii="Century Gothic" w:hAnsi="Century Gothic"/>
          <w:sz w:val="22"/>
          <w:szCs w:val="22"/>
        </w:rPr>
      </w:pPr>
      <w:r w:rsidRPr="0003211D">
        <w:rPr>
          <w:rFonts w:ascii="Century Gothic" w:hAnsi="Century Gothic"/>
          <w:sz w:val="22"/>
          <w:szCs w:val="22"/>
        </w:rPr>
        <w:t>Serve as a positive role model, demonstrating high standards of teaching, professionalism, and inclusion.</w:t>
      </w:r>
    </w:p>
    <w:p w:rsidR="0003211D" w:rsidRPr="0003211D" w:rsidRDefault="0003211D" w:rsidP="0003211D">
      <w:pPr>
        <w:pStyle w:val="NormalWeb"/>
        <w:numPr>
          <w:ilvl w:val="0"/>
          <w:numId w:val="32"/>
        </w:numPr>
        <w:spacing w:before="0" w:beforeAutospacing="0" w:after="0" w:afterAutospacing="0"/>
        <w:rPr>
          <w:rFonts w:ascii="Century Gothic" w:hAnsi="Century Gothic"/>
          <w:sz w:val="22"/>
          <w:szCs w:val="22"/>
        </w:rPr>
      </w:pPr>
      <w:r w:rsidRPr="0003211D">
        <w:rPr>
          <w:rFonts w:ascii="Century Gothic" w:hAnsi="Century Gothic"/>
          <w:sz w:val="22"/>
          <w:szCs w:val="22"/>
        </w:rPr>
        <w:t>Ensure pupils in the CNRB make strong holistic progress academically, socially, emotionally, and in life skills.</w:t>
      </w:r>
    </w:p>
    <w:p w:rsidR="0003211D" w:rsidRPr="0003211D" w:rsidRDefault="0003211D" w:rsidP="0003211D">
      <w:pPr>
        <w:pStyle w:val="NormalWeb"/>
        <w:numPr>
          <w:ilvl w:val="0"/>
          <w:numId w:val="32"/>
        </w:numPr>
        <w:spacing w:before="0" w:beforeAutospacing="0" w:after="0" w:afterAutospacing="0"/>
        <w:rPr>
          <w:rFonts w:ascii="Century Gothic" w:hAnsi="Century Gothic"/>
          <w:sz w:val="22"/>
          <w:szCs w:val="22"/>
        </w:rPr>
      </w:pPr>
      <w:r w:rsidRPr="0003211D">
        <w:rPr>
          <w:rFonts w:ascii="Century Gothic" w:hAnsi="Century Gothic"/>
          <w:sz w:val="22"/>
          <w:szCs w:val="22"/>
        </w:rPr>
        <w:t>Support and uphold the school’s vision, values, and ethos.</w:t>
      </w:r>
    </w:p>
    <w:p w:rsidR="0003211D" w:rsidRPr="0003211D" w:rsidRDefault="000B21A3" w:rsidP="0003211D">
      <w:pPr>
        <w:spacing w:after="0"/>
        <w:rPr>
          <w:rFonts w:ascii="Century Gothic" w:hAnsi="Century Gothic"/>
        </w:rPr>
      </w:pPr>
      <w:r>
        <w:rPr>
          <w:rFonts w:ascii="Century Gothic" w:hAnsi="Century Gothic"/>
        </w:rPr>
        <w:pict>
          <v:rect id="_x0000_i1026" style="width:0;height:1.5pt" o:hralign="center" o:hrstd="t" o:hr="t" fillcolor="#a0a0a0" stroked="f"/>
        </w:pict>
      </w:r>
    </w:p>
    <w:p w:rsidR="0003211D" w:rsidRPr="0003211D" w:rsidRDefault="0003211D" w:rsidP="0003211D">
      <w:pPr>
        <w:pStyle w:val="Heading3"/>
        <w:spacing w:before="0"/>
        <w:rPr>
          <w:rFonts w:ascii="Century Gothic" w:hAnsi="Century Gothic"/>
          <w:b/>
          <w:color w:val="auto"/>
          <w:sz w:val="22"/>
          <w:szCs w:val="22"/>
        </w:rPr>
      </w:pPr>
      <w:r w:rsidRPr="0003211D">
        <w:rPr>
          <w:rFonts w:ascii="Century Gothic" w:hAnsi="Century Gothic"/>
          <w:b/>
          <w:color w:val="auto"/>
          <w:sz w:val="22"/>
          <w:szCs w:val="22"/>
        </w:rPr>
        <w:t>Qualifications and Experience</w:t>
      </w:r>
    </w:p>
    <w:tbl>
      <w:tblPr>
        <w:tblW w:w="10774"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529"/>
      </w:tblGrid>
      <w:tr w:rsidR="0003211D" w:rsidRPr="0003211D" w:rsidTr="0003211D">
        <w:trPr>
          <w:tblHeader/>
          <w:tblCellSpacing w:w="15" w:type="dxa"/>
        </w:trPr>
        <w:tc>
          <w:tcPr>
            <w:tcW w:w="5200"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Essential</w:t>
            </w:r>
          </w:p>
        </w:tc>
        <w:tc>
          <w:tcPr>
            <w:tcW w:w="5484"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Desirable</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QTS (Qualified Teacher Status)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Specific experience within a Resource Base, SEN unit, or specialist provision</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Degree or equivalent</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2:1 degree or above</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Substantial, recent, and successful experience working with pupils with a range of SEND in a primary or equivalent setting</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Additional leadership experience, training, or CPD in SEND or leadership</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using teaching strategies designed to meet the educational needs of pupils with SEND</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Specific SEND training or qualifications (e.g., Makaton, PECS, TEACCH, Attention Autism)</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liaising with parents/carers and external agencies to support pupil progress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teaching across a variety of primary year groups</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planning, delivering, and assessing personalised learning for pupils with complex needs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Further professional studies relevant to SEND</w:t>
            </w:r>
          </w:p>
        </w:tc>
      </w:tr>
    </w:tbl>
    <w:p w:rsidR="0003211D" w:rsidRPr="0003211D" w:rsidRDefault="000B21A3" w:rsidP="0003211D">
      <w:pPr>
        <w:spacing w:after="0"/>
        <w:rPr>
          <w:rFonts w:ascii="Century Gothic" w:hAnsi="Century Gothic"/>
        </w:rPr>
      </w:pPr>
      <w:r>
        <w:rPr>
          <w:rFonts w:ascii="Century Gothic" w:hAnsi="Century Gothic"/>
        </w:rPr>
        <w:pict>
          <v:rect id="_x0000_i1027" style="width:0;height:1.5pt" o:hralign="center" o:hrstd="t" o:hr="t" fillcolor="#a0a0a0" stroked="f"/>
        </w:pict>
      </w:r>
    </w:p>
    <w:p w:rsidR="0003211D" w:rsidRPr="0003211D" w:rsidRDefault="0003211D" w:rsidP="0003211D">
      <w:pPr>
        <w:pStyle w:val="Heading3"/>
        <w:spacing w:before="0"/>
        <w:rPr>
          <w:rFonts w:ascii="Century Gothic" w:hAnsi="Century Gothic"/>
          <w:b/>
          <w:color w:val="auto"/>
          <w:sz w:val="22"/>
          <w:szCs w:val="22"/>
        </w:rPr>
      </w:pPr>
      <w:r w:rsidRPr="0003211D">
        <w:rPr>
          <w:rFonts w:ascii="Century Gothic" w:hAnsi="Century Gothic"/>
          <w:b/>
          <w:color w:val="auto"/>
          <w:sz w:val="22"/>
          <w:szCs w:val="22"/>
        </w:rPr>
        <w:t>Knowledge, Understanding, and Skills</w:t>
      </w:r>
    </w:p>
    <w:tbl>
      <w:tblPr>
        <w:tblW w:w="10774"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529"/>
      </w:tblGrid>
      <w:tr w:rsidR="0003211D" w:rsidRPr="0003211D" w:rsidTr="0003211D">
        <w:trPr>
          <w:tblHeader/>
          <w:tblCellSpacing w:w="15" w:type="dxa"/>
        </w:trPr>
        <w:tc>
          <w:tcPr>
            <w:tcW w:w="5200"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Essential</w:t>
            </w:r>
          </w:p>
        </w:tc>
        <w:tc>
          <w:tcPr>
            <w:tcW w:w="5484"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Desirable</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Strong knowledge of the SEND Code of Practice</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using innovative technologies to support learning and engagement</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Understanding of statutory responsibilities regarding EHCPs, including Annual Reviews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using the Engagement Model assessment tool</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lastRenderedPageBreak/>
              <w:t>Ability to create a Total Communication Environment and use alternative communication methods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Specific training/expertise supporting children with visual, hearing, or physical impairments</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work effectively and collaboratively with a wide range of professionals and agencies</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Strong IT skills</w:t>
            </w:r>
          </w:p>
        </w:tc>
        <w:tc>
          <w:tcPr>
            <w:tcW w:w="5484" w:type="dxa"/>
            <w:vAlign w:val="center"/>
            <w:hideMark/>
          </w:tcPr>
          <w:p w:rsidR="0003211D" w:rsidRPr="0003211D" w:rsidRDefault="0003211D" w:rsidP="0003211D">
            <w:pPr>
              <w:spacing w:after="0"/>
              <w:rPr>
                <w:rFonts w:ascii="Century Gothic" w:hAnsi="Century Gothic"/>
              </w:rPr>
            </w:pPr>
          </w:p>
        </w:tc>
      </w:tr>
    </w:tbl>
    <w:p w:rsidR="0003211D" w:rsidRPr="0003211D" w:rsidRDefault="000B21A3" w:rsidP="0003211D">
      <w:pPr>
        <w:spacing w:after="0"/>
        <w:rPr>
          <w:rFonts w:ascii="Century Gothic" w:hAnsi="Century Gothic"/>
        </w:rPr>
      </w:pPr>
      <w:r>
        <w:rPr>
          <w:rFonts w:ascii="Century Gothic" w:hAnsi="Century Gothic"/>
        </w:rPr>
        <w:pict>
          <v:rect id="_x0000_i1028" style="width:0;height:1.5pt" o:hralign="center" o:hrstd="t" o:hr="t" fillcolor="#a0a0a0" stroked="f"/>
        </w:pict>
      </w:r>
    </w:p>
    <w:p w:rsidR="0003211D" w:rsidRPr="0003211D" w:rsidRDefault="0003211D" w:rsidP="0003211D">
      <w:pPr>
        <w:pStyle w:val="Heading3"/>
        <w:spacing w:before="0"/>
        <w:rPr>
          <w:rFonts w:ascii="Century Gothic" w:hAnsi="Century Gothic"/>
          <w:b/>
          <w:color w:val="auto"/>
          <w:sz w:val="22"/>
          <w:szCs w:val="22"/>
        </w:rPr>
      </w:pPr>
      <w:r w:rsidRPr="0003211D">
        <w:rPr>
          <w:rFonts w:ascii="Century Gothic" w:hAnsi="Century Gothic"/>
          <w:b/>
          <w:color w:val="auto"/>
          <w:sz w:val="22"/>
          <w:szCs w:val="22"/>
        </w:rPr>
        <w:t>Teaching, Learning, and Assessment</w:t>
      </w:r>
    </w:p>
    <w:tbl>
      <w:tblPr>
        <w:tblW w:w="10774"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529"/>
      </w:tblGrid>
      <w:tr w:rsidR="0003211D" w:rsidRPr="0003211D" w:rsidTr="0003211D">
        <w:trPr>
          <w:tblHeader/>
          <w:tblCellSpacing w:w="15" w:type="dxa"/>
        </w:trPr>
        <w:tc>
          <w:tcPr>
            <w:tcW w:w="5200"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Essential</w:t>
            </w:r>
          </w:p>
        </w:tc>
        <w:tc>
          <w:tcPr>
            <w:tcW w:w="5484"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Desirable</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Highly effective and reflective classroom practitioner who meets all elements of the Teachers’ Standards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using assessment data to inform whole-school decision-making</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identify pupils’ unique talents, plan personalised approaches, and maintain high expectations</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Strong understanding of principles and practice of teaching and assessment for children with complex SEND</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plan and deliver a stimulating, structured curriculum experience for pupils with complex learning needs</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create a positive learning environment that promotes good relationships and high achievement</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the EHCP Annual Review process</w:t>
            </w:r>
          </w:p>
        </w:tc>
        <w:tc>
          <w:tcPr>
            <w:tcW w:w="5484" w:type="dxa"/>
            <w:vAlign w:val="center"/>
            <w:hideMark/>
          </w:tcPr>
          <w:p w:rsidR="0003211D" w:rsidRPr="0003211D" w:rsidRDefault="0003211D" w:rsidP="0003211D">
            <w:pPr>
              <w:spacing w:after="0"/>
              <w:rPr>
                <w:rFonts w:ascii="Century Gothic" w:hAnsi="Century Gothic"/>
              </w:rPr>
            </w:pP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lead, plan, and manage support staff to maximise their impact on pupil outcomes</w:t>
            </w:r>
          </w:p>
        </w:tc>
        <w:tc>
          <w:tcPr>
            <w:tcW w:w="5484" w:type="dxa"/>
            <w:vAlign w:val="center"/>
            <w:hideMark/>
          </w:tcPr>
          <w:p w:rsidR="0003211D" w:rsidRPr="0003211D" w:rsidRDefault="0003211D" w:rsidP="0003211D">
            <w:pPr>
              <w:spacing w:after="0"/>
              <w:rPr>
                <w:rFonts w:ascii="Century Gothic" w:hAnsi="Century Gothic"/>
              </w:rPr>
            </w:pPr>
          </w:p>
        </w:tc>
      </w:tr>
    </w:tbl>
    <w:p w:rsidR="0003211D" w:rsidRPr="0003211D" w:rsidRDefault="000B21A3" w:rsidP="0003211D">
      <w:pPr>
        <w:spacing w:after="0"/>
        <w:rPr>
          <w:rFonts w:ascii="Century Gothic" w:hAnsi="Century Gothic"/>
        </w:rPr>
      </w:pPr>
      <w:r>
        <w:rPr>
          <w:rFonts w:ascii="Century Gothic" w:hAnsi="Century Gothic"/>
        </w:rPr>
        <w:pict>
          <v:rect id="_x0000_i1029" style="width:0;height:1.5pt" o:hralign="center" o:hrstd="t" o:hr="t" fillcolor="#a0a0a0" stroked="f"/>
        </w:pict>
      </w:r>
    </w:p>
    <w:p w:rsidR="0003211D" w:rsidRPr="0003211D" w:rsidRDefault="0003211D" w:rsidP="0003211D">
      <w:pPr>
        <w:pStyle w:val="Heading3"/>
        <w:spacing w:before="0"/>
        <w:rPr>
          <w:rFonts w:ascii="Century Gothic" w:hAnsi="Century Gothic"/>
          <w:b/>
          <w:color w:val="auto"/>
          <w:sz w:val="22"/>
          <w:szCs w:val="22"/>
        </w:rPr>
      </w:pPr>
      <w:r w:rsidRPr="0003211D">
        <w:rPr>
          <w:rFonts w:ascii="Century Gothic" w:hAnsi="Century Gothic"/>
          <w:b/>
          <w:color w:val="auto"/>
          <w:sz w:val="22"/>
          <w:szCs w:val="22"/>
        </w:rPr>
        <w:t>Leadership and Management</w:t>
      </w:r>
    </w:p>
    <w:tbl>
      <w:tblPr>
        <w:tblW w:w="10774"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529"/>
      </w:tblGrid>
      <w:tr w:rsidR="0003211D" w:rsidRPr="0003211D" w:rsidTr="0003211D">
        <w:trPr>
          <w:tblHeader/>
          <w:tblCellSpacing w:w="15" w:type="dxa"/>
        </w:trPr>
        <w:tc>
          <w:tcPr>
            <w:tcW w:w="5200"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Essential</w:t>
            </w:r>
          </w:p>
        </w:tc>
        <w:tc>
          <w:tcPr>
            <w:tcW w:w="5484"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Desirable</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influence the quality of teaching and learning, motivate and inspire colleagues, and lead by example</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leading a staff team</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Capable of supporting colleagues to improve classroom practice through coaching, mentoring, and feedback</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organising and delivering training and CPD for colleagues</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monitoring and evaluating teaching and learning (observations, learning walks, book scrutiny)</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as a line manager or performance appraiser for teaching staff</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manage and co-ordinate the work of teaching assistants across the Resource Base</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Understanding of school improvement planning, monitoring, and evaluation</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lastRenderedPageBreak/>
              <w:t>Ability to work closely with SLT to help shape and implement the school’s vision for inclusion and SEND</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budget management or resource deployment</w:t>
            </w:r>
          </w:p>
        </w:tc>
      </w:tr>
      <w:tr w:rsidR="0003211D" w:rsidRPr="0003211D" w:rsidTr="0003211D">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Ability to ensure lessons and provision meet pupils’ individual needs</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leading teams through change initiatives</w:t>
            </w:r>
          </w:p>
        </w:tc>
      </w:tr>
    </w:tbl>
    <w:p w:rsidR="0003211D" w:rsidRPr="0003211D" w:rsidRDefault="000B21A3" w:rsidP="0003211D">
      <w:pPr>
        <w:spacing w:after="0"/>
        <w:rPr>
          <w:rFonts w:ascii="Century Gothic" w:hAnsi="Century Gothic"/>
        </w:rPr>
      </w:pPr>
      <w:r>
        <w:rPr>
          <w:rFonts w:ascii="Century Gothic" w:hAnsi="Century Gothic"/>
        </w:rPr>
        <w:pict>
          <v:rect id="_x0000_i1030" style="width:0;height:1.5pt" o:hralign="center" o:hrstd="t" o:hr="t" fillcolor="#a0a0a0" stroked="f"/>
        </w:pict>
      </w:r>
    </w:p>
    <w:p w:rsidR="0003211D" w:rsidRPr="008D2A47" w:rsidRDefault="0003211D" w:rsidP="0003211D">
      <w:pPr>
        <w:pStyle w:val="Heading3"/>
        <w:spacing w:before="0"/>
        <w:rPr>
          <w:rFonts w:ascii="Century Gothic" w:hAnsi="Century Gothic"/>
          <w:b/>
          <w:color w:val="auto"/>
          <w:sz w:val="22"/>
          <w:szCs w:val="22"/>
        </w:rPr>
      </w:pPr>
      <w:r w:rsidRPr="008D2A47">
        <w:rPr>
          <w:rFonts w:ascii="Century Gothic" w:hAnsi="Century Gothic"/>
          <w:b/>
          <w:color w:val="auto"/>
          <w:sz w:val="22"/>
          <w:szCs w:val="22"/>
        </w:rPr>
        <w:t>Safeguarding</w:t>
      </w:r>
    </w:p>
    <w:tbl>
      <w:tblPr>
        <w:tblW w:w="10774"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5529"/>
      </w:tblGrid>
      <w:tr w:rsidR="0003211D" w:rsidRPr="0003211D" w:rsidTr="008D2A47">
        <w:trPr>
          <w:tblHeader/>
          <w:tblCellSpacing w:w="15" w:type="dxa"/>
        </w:trPr>
        <w:tc>
          <w:tcPr>
            <w:tcW w:w="5200"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Essential</w:t>
            </w:r>
          </w:p>
        </w:tc>
        <w:tc>
          <w:tcPr>
            <w:tcW w:w="5484" w:type="dxa"/>
            <w:vAlign w:val="center"/>
            <w:hideMark/>
          </w:tcPr>
          <w:p w:rsidR="0003211D" w:rsidRPr="0003211D" w:rsidRDefault="0003211D" w:rsidP="0003211D">
            <w:pPr>
              <w:spacing w:after="0"/>
              <w:jc w:val="center"/>
              <w:rPr>
                <w:rFonts w:ascii="Century Gothic" w:hAnsi="Century Gothic"/>
                <w:b/>
                <w:bCs/>
              </w:rPr>
            </w:pPr>
            <w:r w:rsidRPr="0003211D">
              <w:rPr>
                <w:rStyle w:val="Strong"/>
                <w:rFonts w:ascii="Century Gothic" w:hAnsi="Century Gothic"/>
              </w:rPr>
              <w:t>Desirable</w:t>
            </w:r>
          </w:p>
        </w:tc>
      </w:tr>
      <w:tr w:rsidR="0003211D" w:rsidRPr="0003211D" w:rsidTr="008D2A47">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Up-to-date knowledge of statutory safeguarding guidance and best practice</w:t>
            </w:r>
          </w:p>
        </w:tc>
        <w:tc>
          <w:tcPr>
            <w:tcW w:w="5484"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Experience of Early Help intervention, e.g., Team Around the Child support</w:t>
            </w:r>
          </w:p>
        </w:tc>
      </w:tr>
      <w:tr w:rsidR="0003211D" w:rsidRPr="0003211D" w:rsidTr="008D2A47">
        <w:trPr>
          <w:tblCellSpacing w:w="15" w:type="dxa"/>
        </w:trPr>
        <w:tc>
          <w:tcPr>
            <w:tcW w:w="5200" w:type="dxa"/>
            <w:vAlign w:val="center"/>
            <w:hideMark/>
          </w:tcPr>
          <w:p w:rsidR="0003211D" w:rsidRPr="0003211D" w:rsidRDefault="0003211D" w:rsidP="0003211D">
            <w:pPr>
              <w:spacing w:after="0"/>
              <w:rPr>
                <w:rFonts w:ascii="Century Gothic" w:hAnsi="Century Gothic"/>
              </w:rPr>
            </w:pPr>
            <w:r w:rsidRPr="0003211D">
              <w:rPr>
                <w:rFonts w:ascii="Century Gothic" w:hAnsi="Century Gothic"/>
              </w:rPr>
              <w:t>Commitment to safeguarding and promoting the welfare of children and young people</w:t>
            </w:r>
          </w:p>
        </w:tc>
        <w:tc>
          <w:tcPr>
            <w:tcW w:w="5484" w:type="dxa"/>
            <w:vAlign w:val="center"/>
            <w:hideMark/>
          </w:tcPr>
          <w:p w:rsidR="0003211D" w:rsidRPr="0003211D" w:rsidRDefault="0003211D" w:rsidP="0003211D">
            <w:pPr>
              <w:spacing w:after="0"/>
              <w:rPr>
                <w:rFonts w:ascii="Century Gothic" w:hAnsi="Century Gothic"/>
              </w:rPr>
            </w:pPr>
          </w:p>
        </w:tc>
      </w:tr>
    </w:tbl>
    <w:p w:rsidR="0003211D" w:rsidRPr="0003211D" w:rsidRDefault="000B21A3" w:rsidP="0003211D">
      <w:pPr>
        <w:spacing w:after="0"/>
        <w:rPr>
          <w:rFonts w:ascii="Century Gothic" w:hAnsi="Century Gothic"/>
        </w:rPr>
      </w:pPr>
      <w:r>
        <w:rPr>
          <w:rFonts w:ascii="Century Gothic" w:hAnsi="Century Gothic"/>
        </w:rPr>
        <w:pict>
          <v:rect id="_x0000_i1031" style="width:0;height:1.5pt" o:hralign="center" o:hrstd="t" o:hr="t" fillcolor="#a0a0a0" stroked="f"/>
        </w:pict>
      </w:r>
    </w:p>
    <w:p w:rsidR="0003211D" w:rsidRPr="008D2A47" w:rsidRDefault="0003211D" w:rsidP="0003211D">
      <w:pPr>
        <w:pStyle w:val="Heading3"/>
        <w:spacing w:before="0"/>
        <w:rPr>
          <w:rFonts w:ascii="Century Gothic" w:hAnsi="Century Gothic"/>
          <w:b/>
          <w:color w:val="auto"/>
          <w:sz w:val="22"/>
          <w:szCs w:val="22"/>
        </w:rPr>
      </w:pPr>
      <w:r w:rsidRPr="008D2A47">
        <w:rPr>
          <w:rFonts w:ascii="Century Gothic" w:hAnsi="Century Gothic"/>
          <w:b/>
          <w:color w:val="auto"/>
          <w:sz w:val="22"/>
          <w:szCs w:val="22"/>
        </w:rPr>
        <w:t>Personal Skills and Attributes</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Commitment to the school’s ethos of inclusive education and improving outcomes for all pupils</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Enthusiastic, positive, approachable, and flexible</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Excellent verbal and written communication skills</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Ability to build effective relationships with colleagues, pupils, parents, and external agencies</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Well-organised and able to manage a demanding workload, prioritising effectively</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Resilient, collaborative, and able to work as part of a team</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Sense of humour and ability to maintain a positive, professional presence</w:t>
      </w:r>
    </w:p>
    <w:p w:rsidR="0003211D" w:rsidRPr="0003211D" w:rsidRDefault="0003211D" w:rsidP="0003211D">
      <w:pPr>
        <w:pStyle w:val="NormalWeb"/>
        <w:numPr>
          <w:ilvl w:val="0"/>
          <w:numId w:val="33"/>
        </w:numPr>
        <w:spacing w:before="0" w:beforeAutospacing="0" w:after="0" w:afterAutospacing="0"/>
        <w:rPr>
          <w:rFonts w:ascii="Century Gothic" w:hAnsi="Century Gothic"/>
          <w:sz w:val="22"/>
          <w:szCs w:val="22"/>
        </w:rPr>
      </w:pPr>
      <w:r w:rsidRPr="0003211D">
        <w:rPr>
          <w:rFonts w:ascii="Century Gothic" w:hAnsi="Century Gothic"/>
          <w:sz w:val="22"/>
          <w:szCs w:val="22"/>
        </w:rPr>
        <w:t>Acts as a consistent role model, promoting high expectations for pupils and staff</w:t>
      </w:r>
    </w:p>
    <w:p w:rsidR="0003211D" w:rsidRPr="0003211D" w:rsidRDefault="000B21A3" w:rsidP="0003211D">
      <w:pPr>
        <w:spacing w:after="0"/>
        <w:rPr>
          <w:rFonts w:ascii="Century Gothic" w:hAnsi="Century Gothic"/>
        </w:rPr>
      </w:pPr>
      <w:r>
        <w:rPr>
          <w:rFonts w:ascii="Century Gothic" w:hAnsi="Century Gothic"/>
        </w:rPr>
        <w:pict>
          <v:rect id="_x0000_i1032" style="width:0;height:1.5pt" o:hralign="center" o:hrstd="t" o:hr="t" fillcolor="#a0a0a0" stroked="f"/>
        </w:pict>
      </w:r>
    </w:p>
    <w:p w:rsidR="0003211D" w:rsidRPr="0003211D" w:rsidRDefault="0003211D" w:rsidP="0003211D">
      <w:pPr>
        <w:pStyle w:val="NormalWeb"/>
        <w:spacing w:before="0" w:beforeAutospacing="0" w:after="0" w:afterAutospacing="0"/>
        <w:rPr>
          <w:rFonts w:ascii="Century Gothic" w:hAnsi="Century Gothic"/>
          <w:sz w:val="22"/>
          <w:szCs w:val="22"/>
        </w:rPr>
      </w:pPr>
      <w:r w:rsidRPr="0003211D">
        <w:rPr>
          <w:rStyle w:val="Strong"/>
          <w:rFonts w:ascii="Century Gothic" w:hAnsi="Century Gothic"/>
          <w:sz w:val="22"/>
          <w:szCs w:val="22"/>
        </w:rPr>
        <w:t>Frogwell Primary School is committed to safeguarding and promoting the welfare of children and young people. All staff and volunteers are expected to share this commitment. Appointment is subject to an enhanced DBS check and other pre-employment checks in line with statutory guidance.</w:t>
      </w:r>
    </w:p>
    <w:p w:rsidR="00C902AD" w:rsidRPr="0003211D" w:rsidRDefault="00C902AD" w:rsidP="0003211D">
      <w:pPr>
        <w:pStyle w:val="NormalWeb"/>
        <w:spacing w:before="0" w:beforeAutospacing="0" w:after="0" w:afterAutospacing="0"/>
        <w:jc w:val="center"/>
        <w:rPr>
          <w:rFonts w:ascii="Century Gothic" w:hAnsi="Century Gothic"/>
        </w:rPr>
      </w:pPr>
    </w:p>
    <w:sectPr w:rsidR="00C902AD" w:rsidRPr="0003211D" w:rsidSect="009B79AC">
      <w:head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11D" w:rsidRDefault="0003211D" w:rsidP="00260D2F">
      <w:pPr>
        <w:spacing w:after="0" w:line="240" w:lineRule="auto"/>
      </w:pPr>
      <w:r>
        <w:separator/>
      </w:r>
    </w:p>
  </w:endnote>
  <w:endnote w:type="continuationSeparator" w:id="0">
    <w:p w:rsidR="0003211D" w:rsidRDefault="0003211D" w:rsidP="0026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11D" w:rsidRDefault="0003211D" w:rsidP="00260D2F">
      <w:pPr>
        <w:spacing w:after="0" w:line="240" w:lineRule="auto"/>
      </w:pPr>
      <w:r>
        <w:separator/>
      </w:r>
    </w:p>
  </w:footnote>
  <w:footnote w:type="continuationSeparator" w:id="0">
    <w:p w:rsidR="0003211D" w:rsidRDefault="0003211D" w:rsidP="0026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11D" w:rsidRDefault="0003211D">
    <w:pPr>
      <w:pStyle w:val="Header"/>
    </w:pPr>
  </w:p>
  <w:p w:rsidR="0003211D" w:rsidRDefault="00032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11D" w:rsidRDefault="00D326E8">
    <w:pPr>
      <w:pStyle w:val="Header"/>
    </w:pPr>
    <w:r>
      <w:rPr>
        <w:noProof/>
      </w:rPr>
      <w:drawing>
        <wp:anchor distT="0" distB="0" distL="114300" distR="114300" simplePos="0" relativeHeight="251658240" behindDoc="0" locked="0" layoutInCell="1" allowOverlap="1" wp14:anchorId="36570028">
          <wp:simplePos x="0" y="0"/>
          <wp:positionH relativeFrom="column">
            <wp:posOffset>-438150</wp:posOffset>
          </wp:positionH>
          <wp:positionV relativeFrom="paragraph">
            <wp:posOffset>-430530</wp:posOffset>
          </wp:positionV>
          <wp:extent cx="7600950" cy="1495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49542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5AF"/>
    <w:multiLevelType w:val="multilevel"/>
    <w:tmpl w:val="FBA2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4C86"/>
    <w:multiLevelType w:val="multilevel"/>
    <w:tmpl w:val="0BC4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F5E87"/>
    <w:multiLevelType w:val="multilevel"/>
    <w:tmpl w:val="5F6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4267A"/>
    <w:multiLevelType w:val="multilevel"/>
    <w:tmpl w:val="B30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7126"/>
    <w:multiLevelType w:val="multilevel"/>
    <w:tmpl w:val="2FC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B5D40"/>
    <w:multiLevelType w:val="multilevel"/>
    <w:tmpl w:val="4D4E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7E9B"/>
    <w:multiLevelType w:val="multilevel"/>
    <w:tmpl w:val="AEF2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0699E"/>
    <w:multiLevelType w:val="multilevel"/>
    <w:tmpl w:val="3B6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87988"/>
    <w:multiLevelType w:val="multilevel"/>
    <w:tmpl w:val="755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5265D"/>
    <w:multiLevelType w:val="multilevel"/>
    <w:tmpl w:val="057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76F0D"/>
    <w:multiLevelType w:val="multilevel"/>
    <w:tmpl w:val="43C0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A7EAC"/>
    <w:multiLevelType w:val="multilevel"/>
    <w:tmpl w:val="C6F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96A13"/>
    <w:multiLevelType w:val="multilevel"/>
    <w:tmpl w:val="483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4396C"/>
    <w:multiLevelType w:val="multilevel"/>
    <w:tmpl w:val="3CC4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C4DBC"/>
    <w:multiLevelType w:val="multilevel"/>
    <w:tmpl w:val="F2F8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130A2"/>
    <w:multiLevelType w:val="multilevel"/>
    <w:tmpl w:val="EC9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44278"/>
    <w:multiLevelType w:val="multilevel"/>
    <w:tmpl w:val="4BB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963A4D"/>
    <w:multiLevelType w:val="multilevel"/>
    <w:tmpl w:val="98A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71752"/>
    <w:multiLevelType w:val="multilevel"/>
    <w:tmpl w:val="BD7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75278"/>
    <w:multiLevelType w:val="multilevel"/>
    <w:tmpl w:val="39F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73069"/>
    <w:multiLevelType w:val="multilevel"/>
    <w:tmpl w:val="F28A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974CB"/>
    <w:multiLevelType w:val="multilevel"/>
    <w:tmpl w:val="AA62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F0A5D"/>
    <w:multiLevelType w:val="multilevel"/>
    <w:tmpl w:val="797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364BD"/>
    <w:multiLevelType w:val="multilevel"/>
    <w:tmpl w:val="DE0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6259C"/>
    <w:multiLevelType w:val="multilevel"/>
    <w:tmpl w:val="06F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E6D87"/>
    <w:multiLevelType w:val="multilevel"/>
    <w:tmpl w:val="526E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6258E"/>
    <w:multiLevelType w:val="multilevel"/>
    <w:tmpl w:val="066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9597E"/>
    <w:multiLevelType w:val="multilevel"/>
    <w:tmpl w:val="0D1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232F5"/>
    <w:multiLevelType w:val="multilevel"/>
    <w:tmpl w:val="17C6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B62DA"/>
    <w:multiLevelType w:val="multilevel"/>
    <w:tmpl w:val="284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74653"/>
    <w:multiLevelType w:val="multilevel"/>
    <w:tmpl w:val="5D0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83E60"/>
    <w:multiLevelType w:val="multilevel"/>
    <w:tmpl w:val="478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B7762"/>
    <w:multiLevelType w:val="multilevel"/>
    <w:tmpl w:val="835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13"/>
  </w:num>
  <w:num w:numId="4">
    <w:abstractNumId w:val="18"/>
  </w:num>
  <w:num w:numId="5">
    <w:abstractNumId w:val="0"/>
  </w:num>
  <w:num w:numId="6">
    <w:abstractNumId w:val="9"/>
  </w:num>
  <w:num w:numId="7">
    <w:abstractNumId w:val="19"/>
  </w:num>
  <w:num w:numId="8">
    <w:abstractNumId w:val="29"/>
  </w:num>
  <w:num w:numId="9">
    <w:abstractNumId w:val="32"/>
  </w:num>
  <w:num w:numId="10">
    <w:abstractNumId w:val="26"/>
  </w:num>
  <w:num w:numId="11">
    <w:abstractNumId w:val="23"/>
  </w:num>
  <w:num w:numId="12">
    <w:abstractNumId w:val="5"/>
  </w:num>
  <w:num w:numId="13">
    <w:abstractNumId w:val="15"/>
  </w:num>
  <w:num w:numId="14">
    <w:abstractNumId w:val="12"/>
  </w:num>
  <w:num w:numId="15">
    <w:abstractNumId w:val="10"/>
  </w:num>
  <w:num w:numId="16">
    <w:abstractNumId w:val="2"/>
  </w:num>
  <w:num w:numId="17">
    <w:abstractNumId w:val="27"/>
  </w:num>
  <w:num w:numId="18">
    <w:abstractNumId w:val="24"/>
  </w:num>
  <w:num w:numId="19">
    <w:abstractNumId w:val="28"/>
  </w:num>
  <w:num w:numId="20">
    <w:abstractNumId w:val="11"/>
  </w:num>
  <w:num w:numId="21">
    <w:abstractNumId w:val="1"/>
  </w:num>
  <w:num w:numId="22">
    <w:abstractNumId w:val="20"/>
  </w:num>
  <w:num w:numId="23">
    <w:abstractNumId w:val="6"/>
  </w:num>
  <w:num w:numId="24">
    <w:abstractNumId w:val="21"/>
  </w:num>
  <w:num w:numId="25">
    <w:abstractNumId w:val="31"/>
  </w:num>
  <w:num w:numId="26">
    <w:abstractNumId w:val="17"/>
  </w:num>
  <w:num w:numId="27">
    <w:abstractNumId w:val="3"/>
  </w:num>
  <w:num w:numId="28">
    <w:abstractNumId w:val="14"/>
  </w:num>
  <w:num w:numId="29">
    <w:abstractNumId w:val="7"/>
  </w:num>
  <w:num w:numId="30">
    <w:abstractNumId w:val="22"/>
  </w:num>
  <w:num w:numId="31">
    <w:abstractNumId w:val="30"/>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2F"/>
    <w:rsid w:val="00007F6B"/>
    <w:rsid w:val="0003211D"/>
    <w:rsid w:val="000B21A3"/>
    <w:rsid w:val="00260D2F"/>
    <w:rsid w:val="002E45F9"/>
    <w:rsid w:val="005D47E1"/>
    <w:rsid w:val="008D2A47"/>
    <w:rsid w:val="009B79AC"/>
    <w:rsid w:val="00C902AD"/>
    <w:rsid w:val="00D0647C"/>
    <w:rsid w:val="00D326E8"/>
    <w:rsid w:val="00D46D43"/>
    <w:rsid w:val="00FD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A591D2"/>
  <w15:chartTrackingRefBased/>
  <w15:docId w15:val="{CE5B1646-27CF-4705-976B-53489CFB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B79A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46D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D2F"/>
  </w:style>
  <w:style w:type="paragraph" w:styleId="Footer">
    <w:name w:val="footer"/>
    <w:basedOn w:val="Normal"/>
    <w:link w:val="FooterChar"/>
    <w:uiPriority w:val="99"/>
    <w:unhideWhenUsed/>
    <w:rsid w:val="0026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D2F"/>
  </w:style>
  <w:style w:type="paragraph" w:styleId="NormalWeb">
    <w:name w:val="Normal (Web)"/>
    <w:basedOn w:val="Normal"/>
    <w:uiPriority w:val="99"/>
    <w:unhideWhenUsed/>
    <w:rsid w:val="00C90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902AD"/>
    <w:rPr>
      <w:b/>
      <w:bCs/>
    </w:rPr>
  </w:style>
  <w:style w:type="character" w:styleId="Hyperlink">
    <w:name w:val="Hyperlink"/>
    <w:basedOn w:val="DefaultParagraphFont"/>
    <w:uiPriority w:val="99"/>
    <w:unhideWhenUsed/>
    <w:rsid w:val="00C902AD"/>
    <w:rPr>
      <w:color w:val="0563C1" w:themeColor="hyperlink"/>
      <w:u w:val="single"/>
    </w:rPr>
  </w:style>
  <w:style w:type="character" w:styleId="UnresolvedMention">
    <w:name w:val="Unresolved Mention"/>
    <w:basedOn w:val="DefaultParagraphFont"/>
    <w:uiPriority w:val="99"/>
    <w:semiHidden/>
    <w:unhideWhenUsed/>
    <w:rsid w:val="00C902AD"/>
    <w:rPr>
      <w:color w:val="605E5C"/>
      <w:shd w:val="clear" w:color="auto" w:fill="E1DFDD"/>
    </w:rPr>
  </w:style>
  <w:style w:type="character" w:customStyle="1" w:styleId="Heading2Char">
    <w:name w:val="Heading 2 Char"/>
    <w:basedOn w:val="DefaultParagraphFont"/>
    <w:link w:val="Heading2"/>
    <w:uiPriority w:val="9"/>
    <w:rsid w:val="009B79AC"/>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9B79AC"/>
    <w:rPr>
      <w:i/>
      <w:iCs/>
    </w:rPr>
  </w:style>
  <w:style w:type="character" w:customStyle="1" w:styleId="Heading3Char">
    <w:name w:val="Heading 3 Char"/>
    <w:basedOn w:val="DefaultParagraphFont"/>
    <w:link w:val="Heading3"/>
    <w:uiPriority w:val="9"/>
    <w:semiHidden/>
    <w:rsid w:val="00D46D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9613">
      <w:bodyDiv w:val="1"/>
      <w:marLeft w:val="0"/>
      <w:marRight w:val="0"/>
      <w:marTop w:val="0"/>
      <w:marBottom w:val="0"/>
      <w:divBdr>
        <w:top w:val="none" w:sz="0" w:space="0" w:color="auto"/>
        <w:left w:val="none" w:sz="0" w:space="0" w:color="auto"/>
        <w:bottom w:val="none" w:sz="0" w:space="0" w:color="auto"/>
        <w:right w:val="none" w:sz="0" w:space="0" w:color="auto"/>
      </w:divBdr>
    </w:div>
    <w:div w:id="466288990">
      <w:bodyDiv w:val="1"/>
      <w:marLeft w:val="0"/>
      <w:marRight w:val="0"/>
      <w:marTop w:val="0"/>
      <w:marBottom w:val="0"/>
      <w:divBdr>
        <w:top w:val="none" w:sz="0" w:space="0" w:color="auto"/>
        <w:left w:val="none" w:sz="0" w:space="0" w:color="auto"/>
        <w:bottom w:val="none" w:sz="0" w:space="0" w:color="auto"/>
        <w:right w:val="none" w:sz="0" w:space="0" w:color="auto"/>
      </w:divBdr>
    </w:div>
    <w:div w:id="470903973">
      <w:bodyDiv w:val="1"/>
      <w:marLeft w:val="0"/>
      <w:marRight w:val="0"/>
      <w:marTop w:val="0"/>
      <w:marBottom w:val="0"/>
      <w:divBdr>
        <w:top w:val="none" w:sz="0" w:space="0" w:color="auto"/>
        <w:left w:val="none" w:sz="0" w:space="0" w:color="auto"/>
        <w:bottom w:val="none" w:sz="0" w:space="0" w:color="auto"/>
        <w:right w:val="none" w:sz="0" w:space="0" w:color="auto"/>
      </w:divBdr>
    </w:div>
    <w:div w:id="1689795506">
      <w:bodyDiv w:val="1"/>
      <w:marLeft w:val="0"/>
      <w:marRight w:val="0"/>
      <w:marTop w:val="0"/>
      <w:marBottom w:val="0"/>
      <w:divBdr>
        <w:top w:val="none" w:sz="0" w:space="0" w:color="auto"/>
        <w:left w:val="none" w:sz="0" w:space="0" w:color="auto"/>
        <w:bottom w:val="none" w:sz="0" w:space="0" w:color="auto"/>
        <w:right w:val="none" w:sz="0" w:space="0" w:color="auto"/>
      </w:divBdr>
    </w:div>
    <w:div w:id="1702393945">
      <w:bodyDiv w:val="1"/>
      <w:marLeft w:val="0"/>
      <w:marRight w:val="0"/>
      <w:marTop w:val="0"/>
      <w:marBottom w:val="0"/>
      <w:divBdr>
        <w:top w:val="none" w:sz="0" w:space="0" w:color="auto"/>
        <w:left w:val="none" w:sz="0" w:space="0" w:color="auto"/>
        <w:bottom w:val="none" w:sz="0" w:space="0" w:color="auto"/>
        <w:right w:val="none" w:sz="0" w:space="0" w:color="auto"/>
      </w:divBdr>
      <w:divsChild>
        <w:div w:id="1772428576">
          <w:marLeft w:val="0"/>
          <w:marRight w:val="0"/>
          <w:marTop w:val="0"/>
          <w:marBottom w:val="0"/>
          <w:divBdr>
            <w:top w:val="none" w:sz="0" w:space="0" w:color="auto"/>
            <w:left w:val="none" w:sz="0" w:space="0" w:color="auto"/>
            <w:bottom w:val="none" w:sz="0" w:space="0" w:color="auto"/>
            <w:right w:val="none" w:sz="0" w:space="0" w:color="auto"/>
          </w:divBdr>
          <w:divsChild>
            <w:div w:id="1213734730">
              <w:marLeft w:val="0"/>
              <w:marRight w:val="0"/>
              <w:marTop w:val="0"/>
              <w:marBottom w:val="0"/>
              <w:divBdr>
                <w:top w:val="none" w:sz="0" w:space="0" w:color="auto"/>
                <w:left w:val="none" w:sz="0" w:space="0" w:color="auto"/>
                <w:bottom w:val="none" w:sz="0" w:space="0" w:color="auto"/>
                <w:right w:val="none" w:sz="0" w:space="0" w:color="auto"/>
              </w:divBdr>
            </w:div>
          </w:divsChild>
        </w:div>
        <w:div w:id="1777553494">
          <w:marLeft w:val="0"/>
          <w:marRight w:val="0"/>
          <w:marTop w:val="0"/>
          <w:marBottom w:val="0"/>
          <w:divBdr>
            <w:top w:val="none" w:sz="0" w:space="0" w:color="auto"/>
            <w:left w:val="none" w:sz="0" w:space="0" w:color="auto"/>
            <w:bottom w:val="none" w:sz="0" w:space="0" w:color="auto"/>
            <w:right w:val="none" w:sz="0" w:space="0" w:color="auto"/>
          </w:divBdr>
          <w:divsChild>
            <w:div w:id="1790660816">
              <w:marLeft w:val="0"/>
              <w:marRight w:val="0"/>
              <w:marTop w:val="0"/>
              <w:marBottom w:val="0"/>
              <w:divBdr>
                <w:top w:val="none" w:sz="0" w:space="0" w:color="auto"/>
                <w:left w:val="none" w:sz="0" w:space="0" w:color="auto"/>
                <w:bottom w:val="none" w:sz="0" w:space="0" w:color="auto"/>
                <w:right w:val="none" w:sz="0" w:space="0" w:color="auto"/>
              </w:divBdr>
            </w:div>
          </w:divsChild>
        </w:div>
        <w:div w:id="1450784154">
          <w:marLeft w:val="0"/>
          <w:marRight w:val="0"/>
          <w:marTop w:val="0"/>
          <w:marBottom w:val="0"/>
          <w:divBdr>
            <w:top w:val="none" w:sz="0" w:space="0" w:color="auto"/>
            <w:left w:val="none" w:sz="0" w:space="0" w:color="auto"/>
            <w:bottom w:val="none" w:sz="0" w:space="0" w:color="auto"/>
            <w:right w:val="none" w:sz="0" w:space="0" w:color="auto"/>
          </w:divBdr>
          <w:divsChild>
            <w:div w:id="135492582">
              <w:marLeft w:val="0"/>
              <w:marRight w:val="0"/>
              <w:marTop w:val="0"/>
              <w:marBottom w:val="0"/>
              <w:divBdr>
                <w:top w:val="none" w:sz="0" w:space="0" w:color="auto"/>
                <w:left w:val="none" w:sz="0" w:space="0" w:color="auto"/>
                <w:bottom w:val="none" w:sz="0" w:space="0" w:color="auto"/>
                <w:right w:val="none" w:sz="0" w:space="0" w:color="auto"/>
              </w:divBdr>
            </w:div>
          </w:divsChild>
        </w:div>
        <w:div w:id="174223863">
          <w:marLeft w:val="0"/>
          <w:marRight w:val="0"/>
          <w:marTop w:val="0"/>
          <w:marBottom w:val="0"/>
          <w:divBdr>
            <w:top w:val="none" w:sz="0" w:space="0" w:color="auto"/>
            <w:left w:val="none" w:sz="0" w:space="0" w:color="auto"/>
            <w:bottom w:val="none" w:sz="0" w:space="0" w:color="auto"/>
            <w:right w:val="none" w:sz="0" w:space="0" w:color="auto"/>
          </w:divBdr>
          <w:divsChild>
            <w:div w:id="1737120061">
              <w:marLeft w:val="0"/>
              <w:marRight w:val="0"/>
              <w:marTop w:val="0"/>
              <w:marBottom w:val="0"/>
              <w:divBdr>
                <w:top w:val="none" w:sz="0" w:space="0" w:color="auto"/>
                <w:left w:val="none" w:sz="0" w:space="0" w:color="auto"/>
                <w:bottom w:val="none" w:sz="0" w:space="0" w:color="auto"/>
                <w:right w:val="none" w:sz="0" w:space="0" w:color="auto"/>
              </w:divBdr>
            </w:div>
          </w:divsChild>
        </w:div>
        <w:div w:id="1382705187">
          <w:marLeft w:val="0"/>
          <w:marRight w:val="0"/>
          <w:marTop w:val="0"/>
          <w:marBottom w:val="0"/>
          <w:divBdr>
            <w:top w:val="none" w:sz="0" w:space="0" w:color="auto"/>
            <w:left w:val="none" w:sz="0" w:space="0" w:color="auto"/>
            <w:bottom w:val="none" w:sz="0" w:space="0" w:color="auto"/>
            <w:right w:val="none" w:sz="0" w:space="0" w:color="auto"/>
          </w:divBdr>
          <w:divsChild>
            <w:div w:id="1779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5793">
      <w:bodyDiv w:val="1"/>
      <w:marLeft w:val="0"/>
      <w:marRight w:val="0"/>
      <w:marTop w:val="0"/>
      <w:marBottom w:val="0"/>
      <w:divBdr>
        <w:top w:val="none" w:sz="0" w:space="0" w:color="auto"/>
        <w:left w:val="none" w:sz="0" w:space="0" w:color="auto"/>
        <w:bottom w:val="none" w:sz="0" w:space="0" w:color="auto"/>
        <w:right w:val="none" w:sz="0" w:space="0" w:color="auto"/>
      </w:divBdr>
      <w:divsChild>
        <w:div w:id="1380477061">
          <w:marLeft w:val="0"/>
          <w:marRight w:val="0"/>
          <w:marTop w:val="0"/>
          <w:marBottom w:val="0"/>
          <w:divBdr>
            <w:top w:val="none" w:sz="0" w:space="0" w:color="auto"/>
            <w:left w:val="none" w:sz="0" w:space="0" w:color="auto"/>
            <w:bottom w:val="none" w:sz="0" w:space="0" w:color="auto"/>
            <w:right w:val="none" w:sz="0" w:space="0" w:color="auto"/>
          </w:divBdr>
          <w:divsChild>
            <w:div w:id="125783928">
              <w:marLeft w:val="0"/>
              <w:marRight w:val="0"/>
              <w:marTop w:val="0"/>
              <w:marBottom w:val="0"/>
              <w:divBdr>
                <w:top w:val="none" w:sz="0" w:space="0" w:color="auto"/>
                <w:left w:val="none" w:sz="0" w:space="0" w:color="auto"/>
                <w:bottom w:val="none" w:sz="0" w:space="0" w:color="auto"/>
                <w:right w:val="none" w:sz="0" w:space="0" w:color="auto"/>
              </w:divBdr>
            </w:div>
          </w:divsChild>
        </w:div>
        <w:div w:id="1209683187">
          <w:marLeft w:val="0"/>
          <w:marRight w:val="0"/>
          <w:marTop w:val="0"/>
          <w:marBottom w:val="0"/>
          <w:divBdr>
            <w:top w:val="none" w:sz="0" w:space="0" w:color="auto"/>
            <w:left w:val="none" w:sz="0" w:space="0" w:color="auto"/>
            <w:bottom w:val="none" w:sz="0" w:space="0" w:color="auto"/>
            <w:right w:val="none" w:sz="0" w:space="0" w:color="auto"/>
          </w:divBdr>
          <w:divsChild>
            <w:div w:id="71004356">
              <w:marLeft w:val="0"/>
              <w:marRight w:val="0"/>
              <w:marTop w:val="0"/>
              <w:marBottom w:val="0"/>
              <w:divBdr>
                <w:top w:val="none" w:sz="0" w:space="0" w:color="auto"/>
                <w:left w:val="none" w:sz="0" w:space="0" w:color="auto"/>
                <w:bottom w:val="none" w:sz="0" w:space="0" w:color="auto"/>
                <w:right w:val="none" w:sz="0" w:space="0" w:color="auto"/>
              </w:divBdr>
            </w:div>
          </w:divsChild>
        </w:div>
        <w:div w:id="221334321">
          <w:marLeft w:val="0"/>
          <w:marRight w:val="0"/>
          <w:marTop w:val="0"/>
          <w:marBottom w:val="0"/>
          <w:divBdr>
            <w:top w:val="none" w:sz="0" w:space="0" w:color="auto"/>
            <w:left w:val="none" w:sz="0" w:space="0" w:color="auto"/>
            <w:bottom w:val="none" w:sz="0" w:space="0" w:color="auto"/>
            <w:right w:val="none" w:sz="0" w:space="0" w:color="auto"/>
          </w:divBdr>
          <w:divsChild>
            <w:div w:id="101388720">
              <w:marLeft w:val="0"/>
              <w:marRight w:val="0"/>
              <w:marTop w:val="0"/>
              <w:marBottom w:val="0"/>
              <w:divBdr>
                <w:top w:val="none" w:sz="0" w:space="0" w:color="auto"/>
                <w:left w:val="none" w:sz="0" w:space="0" w:color="auto"/>
                <w:bottom w:val="none" w:sz="0" w:space="0" w:color="auto"/>
                <w:right w:val="none" w:sz="0" w:space="0" w:color="auto"/>
              </w:divBdr>
            </w:div>
          </w:divsChild>
        </w:div>
        <w:div w:id="2136219679">
          <w:marLeft w:val="0"/>
          <w:marRight w:val="0"/>
          <w:marTop w:val="0"/>
          <w:marBottom w:val="0"/>
          <w:divBdr>
            <w:top w:val="none" w:sz="0" w:space="0" w:color="auto"/>
            <w:left w:val="none" w:sz="0" w:space="0" w:color="auto"/>
            <w:bottom w:val="none" w:sz="0" w:space="0" w:color="auto"/>
            <w:right w:val="none" w:sz="0" w:space="0" w:color="auto"/>
          </w:divBdr>
          <w:divsChild>
            <w:div w:id="1759905469">
              <w:marLeft w:val="0"/>
              <w:marRight w:val="0"/>
              <w:marTop w:val="0"/>
              <w:marBottom w:val="0"/>
              <w:divBdr>
                <w:top w:val="none" w:sz="0" w:space="0" w:color="auto"/>
                <w:left w:val="none" w:sz="0" w:space="0" w:color="auto"/>
                <w:bottom w:val="none" w:sz="0" w:space="0" w:color="auto"/>
                <w:right w:val="none" w:sz="0" w:space="0" w:color="auto"/>
              </w:divBdr>
            </w:div>
          </w:divsChild>
        </w:div>
        <w:div w:id="175459958">
          <w:marLeft w:val="0"/>
          <w:marRight w:val="0"/>
          <w:marTop w:val="0"/>
          <w:marBottom w:val="0"/>
          <w:divBdr>
            <w:top w:val="none" w:sz="0" w:space="0" w:color="auto"/>
            <w:left w:val="none" w:sz="0" w:space="0" w:color="auto"/>
            <w:bottom w:val="none" w:sz="0" w:space="0" w:color="auto"/>
            <w:right w:val="none" w:sz="0" w:space="0" w:color="auto"/>
          </w:divBdr>
          <w:divsChild>
            <w:div w:id="14671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2026-01-14T13:20:00Z</dcterms:created>
  <dcterms:modified xsi:type="dcterms:W3CDTF">2026-01-15T13:10:00Z</dcterms:modified>
</cp:coreProperties>
</file>